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5a36e9b244463bbfbd2d526aaa5086913a5637"/>
    <w:p>
      <w:pPr>
        <w:pStyle w:val="Heading3"/>
      </w:pPr>
      <w:r>
        <w:t xml:space="preserve">Открылся прием заявок на грант для предпринимателей и конкурсы сезонного оформления.</w:t>
      </w:r>
    </w:p>
    <w:p>
      <w:pPr>
        <w:pStyle w:val="FirstParagraph"/>
      </w:pPr>
      <w:r>
        <w:t xml:space="preserve">02.06.2025</w:t>
      </w:r>
    </w:p>
    <w:p>
      <w:pPr>
        <w:pStyle w:val="BodyText"/>
      </w:pPr>
      <w:r>
        <w:t xml:space="preserve">Предприниматели смогут внести вклад в украшение столицы и получить грантовую поддержку, а дизайнеры и архитекторы — побороться за призы.</w:t>
      </w:r>
    </w:p>
    <w:p>
      <w:pPr>
        <w:pStyle w:val="BodyText"/>
      </w:pPr>
      <w:r>
        <w:t xml:space="preserve">С 1 июня начался</w:t>
      </w:r>
      <w:r>
        <w:t xml:space="preserve"> </w:t>
      </w:r>
      <w:hyperlink r:id="rId20">
        <w:r>
          <w:rPr>
            <w:rStyle w:val="Hyperlink"/>
          </w:rPr>
          <w:t xml:space="preserve">прием заявок</w:t>
        </w:r>
      </w:hyperlink>
      <w:r>
        <w:t xml:space="preserve"> </w:t>
      </w:r>
      <w:r>
        <w:t xml:space="preserve">на участие в конкурсе «Грант на оформление 100 первым». Благодаря этой мере поддержки предприниматели могут компенсировать затраты на оформление внешнего облика помещений, где размещается их бизнес.</w:t>
      </w:r>
    </w:p>
    <w:p>
      <w:pPr>
        <w:pStyle w:val="BodyText"/>
      </w:pPr>
      <w:r>
        <w:t xml:space="preserve">Кроме того, предприниматели также могут побороться за победу в</w:t>
      </w:r>
      <w:r>
        <w:t xml:space="preserve"> </w:t>
      </w:r>
      <w:hyperlink r:id="rId21">
        <w:r>
          <w:rPr>
            <w:rStyle w:val="Hyperlink"/>
          </w:rPr>
          <w:t xml:space="preserve">конкурсе</w:t>
        </w:r>
      </w:hyperlink>
      <w:r>
        <w:t xml:space="preserve"> </w:t>
      </w:r>
      <w:r>
        <w:t xml:space="preserve">на лучшее сезонное оформление витрин. Приготовили</w:t>
      </w:r>
      <w:r>
        <w:t xml:space="preserve"> </w:t>
      </w:r>
      <w:hyperlink r:id="rId22">
        <w:r>
          <w:rPr>
            <w:rStyle w:val="Hyperlink"/>
          </w:rPr>
          <w:t xml:space="preserve">конкурс</w:t>
        </w:r>
      </w:hyperlink>
      <w:r>
        <w:t xml:space="preserve"> </w:t>
      </w:r>
      <w:r>
        <w:t xml:space="preserve">и для жителей столицы. Всем желающим старше 18 лет предлагают представить свои предложения по-праздничному и тематическому оформлению в рамках проекта «Лето в Москве». Оба этих конкурса начинаются с 1 июня.</w:t>
      </w:r>
    </w:p>
    <w:p>
      <w:pPr>
        <w:pStyle w:val="BodyText"/>
      </w:pPr>
      <w:r>
        <w:rPr>
          <w:iCs/>
          <w:i/>
          <w:bCs/>
          <w:b/>
        </w:rPr>
        <w:t xml:space="preserve">«Мы приглашаем бизнес и горожан присоединиться к проектам “Лето в Москве”. Так, предприниматели смогут внести вклад в украшение столицы и получить грантовую поддержку, а дизайнеры и архитекторы — проявить креатив и побороться за призы», — рассказала Кристина Кострома, руководитель Департамента предпринимательства и инновационного развития города Москвы.</w:t>
      </w:r>
    </w:p>
    <w:p>
      <w:pPr>
        <w:pStyle w:val="BodyText"/>
      </w:pPr>
      <w:r>
        <w:t xml:space="preserve">Прием заявок на конкурс «Грант на оформление 100 первым» продлится весь теплый сезон. Претендовать на поддержку могут представители сфер торговли, общественного питания, услуг и гостиничного бизнеса. Они смогут компенсировать свои расходы на разработку проекта оформления, доставку, установку и монтаж элементов декора, а также покупку оборудования, программного обеспечения и материалов, использованных при оформлении. Максимальный размер гранта — два миллиона рублей, однако его сумма не может составить более половины налогов, уплаченных в бюджет Москвы.</w:t>
      </w:r>
    </w:p>
    <w:p>
      <w:pPr>
        <w:pStyle w:val="BodyText"/>
      </w:pPr>
      <w:r>
        <w:t xml:space="preserve">Чтобы получить грант, необходимо не менее года быть зарегистрированным как юридическое лицо или индивидуальный предприниматель, а также быть московским налогоплательщиком и иметь право собственности или пользования на объект, где расположен бизнес. Коммерческий объект должен находиться на первом или цокольном этаже здания и выходить на одну из улиц Москвы.</w:t>
      </w:r>
    </w:p>
    <w:p>
      <w:pPr>
        <w:pStyle w:val="BodyText"/>
      </w:pPr>
      <w:r>
        <w:rPr>
          <w:iCs/>
          <w:i/>
          <w:bCs/>
          <w:b/>
        </w:rPr>
        <w:t xml:space="preserve">Мы участвовали в гранте зимой 2024 года. При оформлении фасада нам было важно украсить “лицо” нашего ресторана так, чтобы гости и прохожие получали эстетическое удовольствие. Рядом с нами находится гостиница, и ежедневно мимо проходит много туристов. Конечно, было очень приятно слышать комплименты, видеть, как люди фотографируются на фоне украшений и оставляют теплые комментарии в соцсетях. Сейчас мы также готовимся принять участие в летнем сезоне. Здорово, что город развивает грантовую поддержку для предпринимателей, которые стремятся сделать столицу еще красивее!» — поделилась Екатерина Боканова, управляющая одним из ресторанов столицы.</w:t>
      </w:r>
    </w:p>
    <w:p>
      <w:pPr>
        <w:pStyle w:val="BodyText"/>
      </w:pPr>
      <w:r>
        <w:t xml:space="preserve">Принять участие в конкурсе на лучший проект праздничного оформления могут физические лица и проектные коллективы: урбанисты, дизайнеры, архитекторы, студенты профильных вузов, а также активные граждане. Конкурс проводится в номинациях «Лучший проект оформления витрин и входных групп», «Лучший проект оформления здания» и «Лучший проект оформления общественных пространств». Победителей ждут денежные призы: за первое место — три миллиона рублей, за второе — два миллиона рублей, а за третье — один миллион рублей.</w:t>
      </w:r>
    </w:p>
    <w:p>
      <w:pPr>
        <w:pStyle w:val="BodyText"/>
      </w:pPr>
      <w:r>
        <w:t xml:space="preserve">Поучаствовать в конкурсе на лучшее сезонное оформление могут представители любого бизнеса: кафе и рестораны, салоны красоты и офисы, магазины и банки. Прием заявок будет идти до конца августа. После этого их выставят на голосование среди москвичей. Финальное решение примет конкурсная комиссия.</w:t>
      </w:r>
    </w:p>
    <w:p>
      <w:pPr>
        <w:pStyle w:val="BodyText"/>
      </w:pP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нацпроекта</w:t>
      </w:r>
      <w:r>
        <w:t xml:space="preserve"> </w:t>
      </w:r>
      <w:hyperlink r:id="rId23">
        <w:r>
          <w:rPr>
            <w:rStyle w:val="Hyperlink"/>
          </w:rPr>
          <w:t xml:space="preserve">«Эффективная и конкурентная экономика»</w:t>
        </w:r>
      </w:hyperlink>
      <w:r>
        <w:t xml:space="preserve">, а также стратегии Мэра Москвы по поддержке столичного предпринимательства.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http://tekstilschiky.mos.ru/presscenter/announcements/detail/13004651.html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Текстильщики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tekstilschiky.mos.ru" TargetMode="External" /><Relationship Type="http://schemas.openxmlformats.org/officeDocument/2006/relationships/hyperlink" Id="rId24" Target="http://tekstilschiky.mos.ru/presscenter/announcements/detail/13004651.html" TargetMode="External" /><Relationship Type="http://schemas.openxmlformats.org/officeDocument/2006/relationships/hyperlink" Id="rId22" Target="https://delo.mos.ru/contest" TargetMode="External" /><Relationship Type="http://schemas.openxmlformats.org/officeDocument/2006/relationships/hyperlink" Id="rId20" Target="https://delo.mos.ru/grant100" TargetMode="External" /><Relationship Type="http://schemas.openxmlformats.org/officeDocument/2006/relationships/hyperlink" Id="rId21" Target="https://www.mos.ru/pgu2/landing/150726111/" TargetMode="External" /><Relationship Type="http://schemas.openxmlformats.org/officeDocument/2006/relationships/hyperlink" Id="rId23" Target="https://xn--80aapampemcchfmo7a3c9ehj.xn--p1ai/new-projects/effektivnaya-i-konkurentnaya-ekonomik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tekstilschiky.mos.ru" TargetMode="External" /><Relationship Type="http://schemas.openxmlformats.org/officeDocument/2006/relationships/hyperlink" Id="rId24" Target="http://tekstilschiky.mos.ru/presscenter/announcements/detail/13004651.html" TargetMode="External" /><Relationship Type="http://schemas.openxmlformats.org/officeDocument/2006/relationships/hyperlink" Id="rId22" Target="https://delo.mos.ru/contest" TargetMode="External" /><Relationship Type="http://schemas.openxmlformats.org/officeDocument/2006/relationships/hyperlink" Id="rId20" Target="https://delo.mos.ru/grant100" TargetMode="External" /><Relationship Type="http://schemas.openxmlformats.org/officeDocument/2006/relationships/hyperlink" Id="rId21" Target="https://www.mos.ru/pgu2/landing/150726111/" TargetMode="External" /><Relationship Type="http://schemas.openxmlformats.org/officeDocument/2006/relationships/hyperlink" Id="rId23" Target="https://xn--80aapampemcchfmo7a3c9ehj.xn--p1ai/new-projects/effektivnaya-i-konkurentnaya-ekonomik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2025-07-27T20:14:14Z</dcterms:created>
  <dcterms:modified xsi:type="dcterms:W3CDTF">2025-07-27T20:14:14Z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