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bb39f4685da2d02623006d2ed0819f12baa35"/>
    <w:p>
      <w:pPr>
        <w:pStyle w:val="Heading3"/>
      </w:pPr>
      <w:r>
        <w:t xml:space="preserve">Покрытие игровой площадки на улице Малышева снова безопасно для детей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Детская площадка во дворе дома 3 на улице Малышева содержалась в ненадлежащем состоянии. Прорезиненное противоударное покрытие на ней прохудилось, из-за чего дети могли получить увечья. Это беспокоило жильцов дома, и они обратились за помощью к местным властям.</w:t>
      </w:r>
    </w:p>
    <w:p>
      <w:pPr>
        <w:pStyle w:val="BodyText"/>
      </w:pPr>
      <w:r>
        <w:t xml:space="preserve">Жалобу руководитель ГБУ «Жилищник» Владимир Воронин перенаправил мастерам управляющей компании — те выехали на место. Силами ГБУ «Жилищник» были выполнены работы по ремонту резинового покрытия. Замечания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http://tekstilschiky.mos.ru/presscenter/news/detail/9996668.html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9996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9996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2024-08-31T16:03:04Z</dcterms:created>
  <dcterms:modified xsi:type="dcterms:W3CDTF">2024-08-31T16:03:04Z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