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 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 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увеличилось количество сведений, выданных бесплатно в рамках межведомственного информационного взаимодействия, по сравнению с аналогичным периодом 2021 года. Вместе с тем возросла доля документов, выданных в электронном виде.</w:t>
      </w:r>
    </w:p>
    <w:p>
      <w:pPr>
        <w:pStyle w:val="BodyText"/>
      </w:pPr>
      <w:r>
        <w:t xml:space="preserve">Без взимания платы сведения из реестра недвижимости могут получать, к примеру, органы исполнительной власти, органы прокуратуры, суды, правоохранительные органы, нотариусы и ряд других ведомств.</w:t>
      </w:r>
    </w:p>
    <w:p>
      <w:pPr>
        <w:pStyle w:val="BodyText"/>
      </w:pPr>
      <w:r>
        <w:t xml:space="preserve">Так, за один квартал текущего года филиал предоставил чуть менее 4,5 млн сведений без взимания платы, при этом 99 % из них в электронном виде. За аналогичный период 2021 года выдано 1,24 млн запрошенных данных, в «цифре»– 97 %.</w:t>
      </w:r>
    </w:p>
    <w:p>
      <w:pPr>
        <w:pStyle w:val="BodyText"/>
      </w:pPr>
      <w:r>
        <w:rPr>
          <w:iCs/>
          <w:i/>
        </w:rPr>
        <w:t xml:space="preserve">«Статистика филиала показывает положительную динамику в оказании услуги по предоставлению сведений из реестра недвижимости.Так, за 1 квартал нами подготовлено 4,68 млн документов, что превышает показатель прошлого года почти в 3,5 раза, при этом на бумаге предоставлено всего лишь 3 %. В добавок в текущем году мы видим ежемесячный рост выданных данных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среднем на 20 %»,</w:t>
      </w:r>
      <w:r>
        <w:t xml:space="preserve"> </w:t>
      </w:r>
      <w:r>
        <w:t xml:space="preserve">– заключила заместитель директора Кадастровой палаты</w:t>
      </w:r>
    </w:p>
    <w:p>
      <w:pPr>
        <w:pStyle w:val="BodyText"/>
      </w:pPr>
      <w:r>
        <w:t xml:space="preserve">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http://tekstilschiky.mos.ru/rosreestr-and-cadastre-chamber/the-news-of-the-federal-registration-service/detail/10796469.html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79646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79646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2025-05-13T01:43:26Z</dcterms:created>
  <dcterms:modified xsi:type="dcterms:W3CDTF">2025-05-13T01:43:26Z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