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5c13d91d42ebb830c38047b7b023959fd5e43a"/>
    <w:p>
      <w:pPr>
        <w:pStyle w:val="Heading3"/>
      </w:pPr>
      <w:r>
        <w:t xml:space="preserve">Более 5,5 тысяч пакетов документов принято столичным Роскадастром в рамках выездного обслуживания</w:t>
      </w:r>
    </w:p>
    <w:p>
      <w:pPr>
        <w:pStyle w:val="FirstParagraph"/>
      </w:pPr>
      <w:r>
        <w:t xml:space="preserve">06.12.2024</w:t>
      </w:r>
    </w:p>
    <w:bookmarkEnd w:id="20"/>
    <w:bookmarkStart w:id="22" w:name="section"/>
    <w:p>
      <w:pPr>
        <w:pStyle w:val="Heading1"/>
      </w:pPr>
    </w:p>
    <w:p>
      <w:pPr>
        <w:pStyle w:val="FirstParagraph"/>
      </w:pPr>
      <w:r>
        <w:t xml:space="preserve">С начала 2024 года в рамках выездного обслуживания экспертами Роскадастра по Москве принято уже более 5,5 тысяч комплектов документов. Данный уникальный формат подразумевает выездной приём и курьерскую доставку документов в любое удобное для заявителя время и место. При этом, экстерриториальный принцип позволяет заявителям воспользоваться услугой выездного обслуживания независимо от места нахождения объекта недвижимости. Правила выездного приема и курьерской доставки распространяются не только на недвижимость, расположенную в столице, но и на объекты недвижимого имущества, которые находятся в любом другом субъекте РФ.</w:t>
      </w:r>
    </w:p>
    <w:p>
      <w:pPr>
        <w:pStyle w:val="BodyText"/>
      </w:pPr>
      <w:r>
        <w:rPr>
          <w:iCs/>
          <w:i/>
        </w:rPr>
        <w:t xml:space="preserve">«С каждым годом услуга выездного обслуживания становится все более востребованной у жителей столицы. И это не удивительно, ведь она позволяет</w:t>
      </w:r>
      <w:r>
        <w:br/>
      </w:r>
      <w:r>
        <w:rPr>
          <w:iCs/>
          <w:i/>
        </w:rPr>
        <w:t xml:space="preserve">в любое удобное для заявителя время и в сокращенные сроки получить государственные услуги Росреестра, –</w:t>
      </w:r>
      <w:r>
        <w:t xml:space="preserve"> </w:t>
      </w:r>
      <w:r>
        <w:t xml:space="preserve">отметил заместитель директора - главный технолог филиала ППК «Роскадастр» по Москве Виктор Горелышев.</w:t>
      </w:r>
      <w:r>
        <w:br/>
      </w:r>
      <w:r>
        <w:rPr>
          <w:iCs/>
          <w:i/>
        </w:rPr>
        <w:t xml:space="preserve">– В текущем году нашими экспертами было совершено порядка 300 выездов в разные уголки столицы, при этом в центральном административном округе активнее всего пользовались услугой по выездному приему».</w:t>
      </w:r>
    </w:p>
    <w:p>
      <w:pPr>
        <w:pStyle w:val="BodyText"/>
      </w:pPr>
      <w:r>
        <w:t xml:space="preserve">В рамках выездного обслуживания можно подать:</w:t>
      </w:r>
    </w:p>
    <w:p>
      <w:pPr>
        <w:pStyle w:val="BodyText"/>
      </w:pPr>
      <w:r>
        <w:t xml:space="preserve">- заявление о кадастровом учёте и (или) регистрации прав на недвижимое имущество и сделок с ним;</w:t>
      </w:r>
    </w:p>
    <w:p>
      <w:pPr>
        <w:pStyle w:val="BodyText"/>
      </w:pPr>
      <w:r>
        <w:t xml:space="preserve">- заявление об исправлении технической ошибки в сведениях Единого государственного реестра недвижимости (ЕГРН);</w:t>
      </w:r>
    </w:p>
    <w:p>
      <w:pPr>
        <w:pStyle w:val="BodyText"/>
      </w:pPr>
      <w:r>
        <w:t xml:space="preserve">- заявление о предоставлении сведений из ЕГРН;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прав.</w:t>
      </w:r>
    </w:p>
    <w:p>
      <w:pPr>
        <w:pStyle w:val="BodyText"/>
      </w:pPr>
      <w:r>
        <w:t xml:space="preserve">Пригласить эксперта столичного Роскадастра можно оставив заявку в электронном виде на сайте</w:t>
      </w:r>
      <w:r>
        <w:t xml:space="preserve"> </w:t>
      </w:r>
      <w:hyperlink r:id="rId21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</w:t>
      </w:r>
      <w:r>
        <w:br/>
      </w:r>
      <w:r>
        <w:t xml:space="preserve">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t xml:space="preserve">Важно отметить,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её получения ветерану необходимо оставить заявку о выездном обслуживании.</w:t>
      </w:r>
    </w:p>
    <w:bookmarkEnd w:id="22"/>
    <w:bookmarkStart w:id="23" w:name="X12b767a4b20e1b9d448cca2be3706dd17b758ab"/>
    <w:p>
      <w:pPr>
        <w:pStyle w:val="Heading1"/>
      </w:pPr>
      <w:r>
        <w:t xml:space="preserve">Эксперты столичного Роскадастра ответили на вопросы предоставления сведений из ЕГРН</w:t>
      </w:r>
    </w:p>
    <w:bookmarkEnd w:id="23"/>
    <w:p>
      <w:pPr>
        <w:pStyle w:val="FirstParagraph"/>
      </w:pPr>
      <w:r>
        <w:t xml:space="preserve">В столичный Роскадастр продолжают поступать вопросы граждан</w:t>
      </w:r>
      <w:r>
        <w:br/>
      </w:r>
      <w:r>
        <w:t xml:space="preserve">о выписках из Единого государственного реестра недвижимости (ЕГРН).</w:t>
      </w:r>
      <w:r>
        <w:br/>
      </w:r>
      <w:r>
        <w:t xml:space="preserve">В рубрике «вопрос-ответ» эксперты компании пояснили, какие сведения</w:t>
      </w:r>
      <w:r>
        <w:br/>
      </w:r>
      <w:r>
        <w:t xml:space="preserve">из ЕГРН подлежат выдаче ограниченному кругу лиц.</w:t>
      </w:r>
    </w:p>
    <w:p>
      <w:pPr>
        <w:pStyle w:val="BodyText"/>
      </w:pPr>
      <w:r>
        <w:t xml:space="preserve">Вопрос: В чем разница между сведениями из ЕГРН общедоступного и ограниченного доступа?</w:t>
      </w:r>
    </w:p>
    <w:p>
      <w:pPr>
        <w:pStyle w:val="BodyText"/>
      </w:pPr>
      <w:r>
        <w:t xml:space="preserve">Ответ: Выписки из ЕГРН подразделяются на общедоступные, которые предоставляются по запросу любого заинтересованного лица, и ограниченного доступа, которые доступны только ограниченному кругу лиц, установленному законом.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</w:rPr>
        <w:t xml:space="preserve">общедоступным (открытым)</w:t>
      </w:r>
      <w:r>
        <w:t xml:space="preserve"> </w:t>
      </w:r>
      <w:r>
        <w:t xml:space="preserve">сведениям относятся:</w:t>
      </w:r>
    </w:p>
    <w:p>
      <w:pPr>
        <w:pStyle w:val="BodyText"/>
      </w:pPr>
      <w:r>
        <w:t xml:space="preserve">- выписка об объекте недвижимости;</w:t>
      </w:r>
    </w:p>
    <w:p>
      <w:pPr>
        <w:pStyle w:val="BodyText"/>
      </w:pPr>
      <w:r>
        <w:t xml:space="preserve">- выписка об основных характеристиках объекта недвижимости и зарегистрированных правах на него;</w:t>
      </w:r>
    </w:p>
    <w:p>
      <w:pPr>
        <w:pStyle w:val="BodyText"/>
      </w:pPr>
      <w:r>
        <w:t xml:space="preserve">- сведения о переходе прав на объект недвижимости;</w:t>
      </w:r>
    </w:p>
    <w:p>
      <w:pPr>
        <w:pStyle w:val="BodyText"/>
      </w:pPr>
      <w:r>
        <w:t xml:space="preserve">- Выписка из ЕГРН о зарегистрированных договорах участия в долевом строительстве;</w:t>
      </w:r>
    </w:p>
    <w:p>
      <w:pPr>
        <w:pStyle w:val="BodyText"/>
      </w:pPr>
      <w:r>
        <w:t xml:space="preserve">- выписка о кадастровой стоимости объекта недвижимости.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</w:rPr>
        <w:t xml:space="preserve">сведениям ограниченного (закрытого)</w:t>
      </w:r>
      <w:r>
        <w:t xml:space="preserve"> </w:t>
      </w:r>
      <w:r>
        <w:t xml:space="preserve">доступа относятся:</w:t>
      </w:r>
    </w:p>
    <w:p>
      <w:pPr>
        <w:pStyle w:val="BodyText"/>
      </w:pPr>
      <w:r>
        <w:t xml:space="preserve">- сведения о правах отдельного лица на имеющиеся (имевшиеся) у него объекты недвижимости;</w:t>
      </w:r>
    </w:p>
    <w:p>
      <w:pPr>
        <w:pStyle w:val="BodyText"/>
      </w:pPr>
      <w:r>
        <w:t xml:space="preserve">- выписка о содержании правоустанавливающих документов;</w:t>
      </w:r>
    </w:p>
    <w:p>
      <w:pPr>
        <w:pStyle w:val="BodyText"/>
      </w:pPr>
      <w:r>
        <w:t xml:space="preserve">- выписка о признании правообладателя недееспособным или ограниченно дееспособным;</w:t>
      </w:r>
    </w:p>
    <w:p>
      <w:pPr>
        <w:pStyle w:val="BodyText"/>
      </w:pPr>
      <w:r>
        <w:t xml:space="preserve">- справка о лицах, получивших сведения об объекте недвижимости;</w:t>
      </w:r>
    </w:p>
    <w:p>
      <w:pPr>
        <w:pStyle w:val="BodyText"/>
      </w:pPr>
      <w:r>
        <w:t xml:space="preserve">- выписка о дате получения органом регистрации прав заявления о государственном кадастровом учете и (или) государственной регистрации прав и прилагаемых к нему документов.</w:t>
      </w:r>
    </w:p>
    <w:p>
      <w:pPr>
        <w:pStyle w:val="BodyText"/>
      </w:pPr>
      <w:r>
        <w:t xml:space="preserve">Также к сведениям ограниченного доступа относится предоставление копий документов, на основании которых в ЕГРН были внесены сведения об объекте недвижимости (например, копия межевого, технического плана).</w:t>
      </w:r>
    </w:p>
    <w:p>
      <w:pPr>
        <w:pStyle w:val="BodyText"/>
      </w:pPr>
      <w:r>
        <w:t xml:space="preserve">Вопрос: Кто может получить сведения из ЕГРН ограниченного доступа?</w:t>
      </w:r>
    </w:p>
    <w:p>
      <w:pPr>
        <w:pStyle w:val="BodyText"/>
      </w:pPr>
      <w:r>
        <w:t xml:space="preserve">Ответ: Согласно федеральному законодательству сведения из ЕГРН ограниченного доступа, могут быть предоставлены только кругу лиц, имеющих на это законное право, таковыми являются:</w:t>
      </w:r>
    </w:p>
    <w:p>
      <w:pPr>
        <w:pStyle w:val="BodyText"/>
      </w:pPr>
      <w:r>
        <w:t xml:space="preserve">- правообладатели и их законные представители (родители, опекуны);</w:t>
      </w:r>
    </w:p>
    <w:p>
      <w:pPr>
        <w:pStyle w:val="BodyText"/>
      </w:pPr>
      <w:r>
        <w:t xml:space="preserve">- лица, действующие по доверенности от правообладателя (доверенные лица);</w:t>
      </w:r>
    </w:p>
    <w:p>
      <w:pPr>
        <w:pStyle w:val="BodyText"/>
      </w:pPr>
      <w:r>
        <w:t xml:space="preserve">- лица, имеющие право на наследование недвижимого имущества правообладателя по завещанию или по закону;</w:t>
      </w:r>
    </w:p>
    <w:p>
      <w:pPr>
        <w:pStyle w:val="BodyText"/>
      </w:pPr>
      <w:r>
        <w:t xml:space="preserve">- нотариусы, судьи, судебные приставы-исполнители, правоохранительные органы, органы прокуратуры, арбитражные управляющие, руководители, заместители руководителей федеральных органов исполнительной власти, их территориальных органов, органов государственной власти субъектов РФ, органов местного самоуправления и иные лица.</w:t>
      </w:r>
    </w:p>
    <w:p>
      <w:pPr>
        <w:pStyle w:val="BodyText"/>
      </w:pPr>
      <w:r>
        <w:rPr>
          <w:iCs/>
          <w:i/>
        </w:rPr>
        <w:t xml:space="preserve">«Например, если третье лицо захочет запросить список объектов, которые принадлежат конкретному лицу, то ему будет отказано в предоставлении сведений, так как только собственник недвижимости и его законный представитель имеют возможность получить такую информацию»,</w:t>
      </w:r>
      <w:r>
        <w:t xml:space="preserve"> </w:t>
      </w:r>
      <w:r>
        <w:t xml:space="preserve">- пояснила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Вопрос: Кому может быть предоставлена копия акта согласования границ из реестрового дела?</w:t>
      </w:r>
    </w:p>
    <w:p>
      <w:pPr>
        <w:pStyle w:val="BodyText"/>
      </w:pPr>
      <w:r>
        <w:t xml:space="preserve">Ответ: Сведения в виде копии содержащегося в межевом плане акта согласования местоположения границ земельных участков предоставляются по запросу правообладателей земельных участков, чьи личные подписи в нем содержатся, их представителей, а также лиц, к которым права на соответствующие земельные участки перешли в порядке универсального правопреемства.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4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5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6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http://tekstilschiky.mos.ru/rosreestr-and-cadastre-chamber/the-news-of-the-federal-registration-service/detail/12706059.html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Текстильщики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tekstilschiky.mos.ru" TargetMode="External" /><Relationship Type="http://schemas.openxmlformats.org/officeDocument/2006/relationships/hyperlink" Id="rId27" Target="http://tekstilschiky.mos.ru/rosreestr-and-cadastre-chamber/the-news-of-the-federal-registration-service/detail/12706059.html" TargetMode="External" /><Relationship Type="http://schemas.openxmlformats.org/officeDocument/2006/relationships/hyperlink" Id="rId24" Target="https://rosreestr.gov.ru/eservices/" TargetMode="External" /><Relationship Type="http://schemas.openxmlformats.org/officeDocument/2006/relationships/hyperlink" Id="rId25" Target="https://spv.kadastr.ru/" TargetMode="External" /><Relationship Type="http://schemas.openxmlformats.org/officeDocument/2006/relationships/hyperlink" Id="rId21" Target="https://svo.kadastr.ru/" TargetMode="External" /><Relationship Type="http://schemas.openxmlformats.org/officeDocument/2006/relationships/hyperlink" Id="rId26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tekstilschiky.mos.ru" TargetMode="External" /><Relationship Type="http://schemas.openxmlformats.org/officeDocument/2006/relationships/hyperlink" Id="rId27" Target="http://tekstilschiky.mos.ru/rosreestr-and-cadastre-chamber/the-news-of-the-federal-registration-service/detail/12706059.html" TargetMode="External" /><Relationship Type="http://schemas.openxmlformats.org/officeDocument/2006/relationships/hyperlink" Id="rId24" Target="https://rosreestr.gov.ru/eservices/" TargetMode="External" /><Relationship Type="http://schemas.openxmlformats.org/officeDocument/2006/relationships/hyperlink" Id="rId25" Target="https://spv.kadastr.ru/" TargetMode="External" /><Relationship Type="http://schemas.openxmlformats.org/officeDocument/2006/relationships/hyperlink" Id="rId21" Target="https://svo.kadastr.ru/" TargetMode="External" /><Relationship Type="http://schemas.openxmlformats.org/officeDocument/2006/relationships/hyperlink" Id="rId26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2025-05-10T23:49:46Z</dcterms:created>
  <dcterms:modified xsi:type="dcterms:W3CDTF">2025-05-10T23:49:46Z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