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fad2a0b69b53c6ccae0e1532a370af259447cd"/>
    <w:p>
      <w:pPr>
        <w:pStyle w:val="Heading3"/>
      </w:pPr>
      <w:r>
        <w:t xml:space="preserve">Более 67% сведений о столичных объектах культурного наследия внесено в ЕГРН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rPr>
          <w:iCs/>
          <w:i/>
        </w:rPr>
        <w:t xml:space="preserve">Кадастровая палата по Москве внесла в Единый государственный реестр недвижимости (ЕГРН) более двух тысяч сведений об объектах культурного наследия.</w:t>
      </w:r>
    </w:p>
    <w:p>
      <w:pPr>
        <w:pStyle w:val="BodyText"/>
      </w:pPr>
      <w:r>
        <w:rPr>
          <w:bCs/>
          <w:b/>
        </w:rPr>
        <w:t xml:space="preserve">Столичная Кадастровая палата совместно с Департаментом культурного наследия города Москвы ведет работу по внесению в ЕГРН сведений об объектах культурного наследия. На сегодняшний день в реестр недвижимости внесено уже более 67% сведений о столичных объектах культурного наследия, при этом с начала 2019 года доля таких объектов выросла почти в 2 раза. К концу 2019 года Кадастровая палата по Москве планирует включить в ЕГРН более 75% таких объектов.</w:t>
      </w:r>
    </w:p>
    <w:p>
      <w:pPr>
        <w:pStyle w:val="BodyText"/>
      </w:pPr>
      <w:r>
        <w:t xml:space="preserve">Всего в границах города Москвы насчитывается порядка трех тысяч объектов культурного наследия, из них свыше 250 – памятники истории и культуры федерального значения.</w:t>
      </w:r>
    </w:p>
    <w:p>
      <w:pPr>
        <w:pStyle w:val="BodyText"/>
      </w:pPr>
      <w:r>
        <w:t xml:space="preserve">Государственная охрана объектов культурного наследия Российской Федерации является одной из важнейших задач государственной власти.</w:t>
      </w:r>
    </w:p>
    <w:p>
      <w:pPr>
        <w:pStyle w:val="BodyText"/>
      </w:pPr>
      <w:r>
        <w:rPr>
          <w:iCs/>
          <w:i/>
        </w:rPr>
        <w:t xml:space="preserve">«Памятники истории и культуры способствуют формированию нравственных ценностей граждан, ведут к духовному объединению нации, воспитывают уважение к предкам и потомкам, пробуждают гордость за Родину. Сохранение объектов культурного наследия – одно из необходимых условий обеспечения целостности и разнообразия культурного пространства Российской Федерации. Немаловажную роль в сохранении памятников культуры играет наличие полных и достоверных сведений о них в ЕГРН. Только в 2019 году Кадастровой палатой по Москве в ЕГРН внесено более тысячи таких объектов»,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drawing>
          <wp:inline>
            <wp:extent cx="5334000" cy="49320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kstilschiky.mos.ru/www/upload/medialibrary/6fd/2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320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Отсутствие в реестре недвижимости информации об объектах культурного наследия может привести к нарушению требований, запрещающих определенные виды деятельности на территории объекта, а также к совершению ошибок при предоставлении земельных участков органами государственной власти и местного самоуправления.</w:t>
      </w:r>
    </w:p>
    <w:p>
      <w:pPr>
        <w:pStyle w:val="BodyText"/>
      </w:pPr>
      <w:r>
        <w:drawing>
          <wp:inline>
            <wp:extent cx="5334000" cy="463946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kstilschiky.mos.ru/www/upload/medialibrary/b4d/bezymyanny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394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Стоит отметить, что «Дорожной картой» по внедрению целевой модели «Постановка на кадастровый учет земельных участков и объектов недвижимого имущества», направленной на снижение административных барьеров, обеспечение устойчивости социально-экономического развития страны и повышение качества жизни граждан, также предусмотрены мероприятия по включению в ЕГРН сведений об объектах культурного наследия.</w:t>
      </w:r>
    </w:p>
    <w:p>
      <w:pPr>
        <w:pStyle w:val="BodyText"/>
      </w:pPr>
      <w:r>
        <w:t xml:space="preserve">Наличие в реестре недвижимости полных и достоверных сведений об объектах культурного наследия позволяет исключить нарушения законодательства при планировании развития территорий, а также снижает риски при осуществлении инвестиционной и предпринимательской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http://tekstilschiky.mos.ru/rosreestr-and-cadastre-chamber/the-news-of-the-federal-registration-service/detail/9035469.html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jpg" /><Relationship Type="http://schemas.openxmlformats.org/officeDocument/2006/relationships/hyperlink" Id="rId27" Target="http://tekstilschiky.mos.ru" TargetMode="External" /><Relationship Type="http://schemas.openxmlformats.org/officeDocument/2006/relationships/hyperlink" Id="rId26" Target="http://tekstilschiky.mos.ru/rosreestr-and-cadastre-chamber/the-news-of-the-federal-registration-service/detail/9035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kstilschiky.mos.ru" TargetMode="External" /><Relationship Type="http://schemas.openxmlformats.org/officeDocument/2006/relationships/hyperlink" Id="rId26" Target="http://tekstilschiky.mos.ru/rosreestr-and-cadastre-chamber/the-news-of-the-federal-registration-service/detail/9035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2024-12-30T05:09:11Z</dcterms:created>
  <dcterms:modified xsi:type="dcterms:W3CDTF">2024-12-30T05:09:11Z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