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87ced5cc05e16d0228ef7a4410b6bf3fc9a9b"/>
    <w:p>
      <w:pPr>
        <w:pStyle w:val="Heading3"/>
      </w:pPr>
      <w:r>
        <w:t xml:space="preserve">Росреестр по Москве: как в период самоизоляции зарегистрировать сделку с рефинансированием ипотеки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Управлением Росреестра по Москве продолжается прием документов в электронном виде на учетно-регистрационные действия, в том числе это касается и регистрации ипотечных сделок, а также сделок с рефинансированием жилищных кредитов. В настоящее время ведомство осуществляет свою деятельность в установленные законом сроки.</w:t>
      </w:r>
    </w:p>
    <w:p>
      <w:pPr>
        <w:pStyle w:val="BodyText"/>
      </w:pPr>
      <w:r>
        <w:rPr>
          <w:iCs/>
          <w:i/>
        </w:rPr>
        <w:t xml:space="preserve">«Большинство ипотечных сделок, которые мы регистрируем на основе представленных банками документов, как и ранее, осуществляются нами именно в электронном виде. Поэтому введенный в столице режим самоизоляции не является проблемой для проведения подобных операций», -</w:t>
      </w:r>
      <w:r>
        <w:t xml:space="preserve"> </w:t>
      </w:r>
      <w:r>
        <w:t xml:space="preserve">подчеркивает</w:t>
      </w:r>
      <w:r>
        <w:t xml:space="preserve"> </w:t>
      </w:r>
      <w:r>
        <w:rPr>
          <w:bCs/>
          <w:b/>
        </w:rPr>
        <w:t xml:space="preserve">Игорь Майданов,</w:t>
      </w:r>
      <w:r>
        <w:t xml:space="preserve"> </w:t>
      </w:r>
      <w:r>
        <w:t xml:space="preserve">руководитель Управления Росреестра по Москве.</w:t>
      </w:r>
    </w:p>
    <w:p>
      <w:pPr>
        <w:pStyle w:val="BodyText"/>
      </w:pPr>
      <w:r>
        <w:t xml:space="preserve">В то же время вынужденное ограничение работы центров госуслуг в период самоизоляции несколько усложнило проведение таких сложных сделок, как рефинансирование ипотеки, потому как они требуют снятия обременения с недвижимости.</w:t>
      </w:r>
    </w:p>
    <w:p>
      <w:pPr>
        <w:pStyle w:val="BodyText"/>
      </w:pPr>
      <w:r>
        <w:t xml:space="preserve">Альтернативой для осуществления сделок с перерегистрацией залога недвижимости является электронная закладная, которая позволяет проводить подобные операции как в бумажной, так и в электронной форме. У банков для этого есть все возможности.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«Сегодняшняя ситуация показывает, насколько важно полностью использовать все возможности онлайн-сервисов Росреестра. К сожалению, не все кредитные организации пока в полной мере освоили такой удобный инструмент как электронная закладная. А ведь при ее применении наличие непогашенной ипотеки как раз не является препятствием для регистрации новой, с другим банком. Требуется лишь предоставить Росреестру пакет документов в электронном виде, включая согласие первоначального банка на проведение данной процедуры. Еще один существенный плюс электронной закладной – ее нельзя потерять, как это может случиться в ходе бумажного документооборота»</w:t>
      </w:r>
      <w:r>
        <w:t xml:space="preserve">, - комментирует Игорь Майданов.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2025-05-11T03:37:03Z</dcterms:created>
  <dcterms:modified xsi:type="dcterms:W3CDTF">2025-05-11T03:37:03Z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