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7e51d77ea8590748ad55aec2db24c0754ea6"/>
    <w:p>
      <w:pPr>
        <w:pStyle w:val="Heading3"/>
      </w:pPr>
      <w:r>
        <w:t xml:space="preserve">Более 170 публичных сервитутов внесено в реестр недвижимости в 2020 году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работ по внесению сведений о публичных сервитутах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За 2020 год реестр недвижимости пополнили сведения о 171 публичном сервитуте. Определение границ и внесение сведений в ЕГРН о публичном сервитуте позволяет обеспечить интересы москвичей по размещению социально-значимых объектов инфраструктуры, необходимых для комфортного проживания.</w:t>
      </w:r>
    </w:p>
    <w:p>
      <w:pPr>
        <w:pStyle w:val="BodyText"/>
      </w:pPr>
      <w:r>
        <w:t xml:space="preserve">Сервитут – право ограниченного пользования чужим земельным участком. </w:t>
      </w:r>
      <w:r>
        <w:t xml:space="preserve">Публичный сервитут устанавливается для государственных или муниципальных нужд, а также нужд местного населения по решению уполномоченного органа власти. </w:t>
      </w:r>
      <w:r>
        <w:t xml:space="preserve">В большинстве случаев публичные сервитуты используют для размещения </w:t>
      </w:r>
      <w:r>
        <w:t xml:space="preserve">на земельных участках социально-значимых объектов, необходимых для организации электро-, газо-, тепло-, водоснабжения, для обеспечения свободного доступа граждан к водному объекту общего пользования, для размещения межевых знаков, пунктов государственной геодезической сети и других. С полным перечнем целей установления ограничений можно ознакомится в</w:t>
      </w:r>
      <w:r>
        <w:t xml:space="preserve"> </w:t>
      </w:r>
      <w:hyperlink r:id="rId20">
        <w:r>
          <w:rPr>
            <w:rStyle w:val="Hyperlink"/>
          </w:rPr>
          <w:t xml:space="preserve">статье 23 Земельного кодекса Российской Федерации.</w:t>
        </w:r>
      </w:hyperlink>
    </w:p>
    <w:p>
      <w:pPr>
        <w:pStyle w:val="BodyText"/>
      </w:pPr>
      <w:r>
        <w:t xml:space="preserve">Отметим, что обременение земельного участка сервитутом не лишает </w:t>
      </w:r>
      <w:r>
        <w:t xml:space="preserve">его собственника прав владения, пользования или распоряжения имуществом.</w:t>
      </w:r>
    </w:p>
    <w:p>
      <w:pPr>
        <w:pStyle w:val="BodyText"/>
      </w:pPr>
      <w:r>
        <w:rPr>
          <w:iCs/>
          <w:i/>
        </w:rPr>
        <w:t xml:space="preserve">«Публичный сервитут не подлежит государственной регистрации, сведения о нем вносятся в реестр границ ЕГРН на основании решения органа государственной власти или местного самоуправления, уполномоченного на установление публичного сервитута в порядке межведомственного информационного взаимодействия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течение 5 рабочих дней,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  <w:r>
        <w:t xml:space="preserve"> </w:t>
      </w:r>
      <w:r>
        <w:rPr>
          <w:iCs/>
          <w:i/>
        </w:rPr>
        <w:t xml:space="preserve">- Внесение в реестр недвижимости сведений о публичных сервитутах позволяет обеспечить интересы населения по размещению социально-значимых объектов инфраструктуры, необходимых для комфортного проживания граждан».</w:t>
      </w:r>
    </w:p>
    <w:p>
      <w:pPr>
        <w:pStyle w:val="BodyText"/>
      </w:pPr>
      <w:r>
        <w:t xml:space="preserve">Добавим, что публичный сервитут не может быть установлен в отношении земельных участков, принадлежащих физическим или юридическим лицам </w:t>
      </w:r>
      <w:r>
        <w:t xml:space="preserve">и предназначенных для индивидуального жилищного строительства, ведения личного подсобного хозяйства, садоводства, огородничества, если он повлечет невозможность или существенное затруднение в использовании земельного участка и расположенного на нем объекта недвижимого имущества в течение более чем трех месяцев или одного года в отношении иных земельных участков.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http://tekstilschiky.mos.ru/rosreestr-and-cadastre-chamber/the-news-of-the-federal-registration-service/detail/9716672.html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716672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716672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2025-05-11T01:52:28Z</dcterms:created>
  <dcterms:modified xsi:type="dcterms:W3CDTF">2025-05-11T01:52:28Z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